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D6863" w:rsidR="003B1E46" w:rsidP="00E57580" w:rsidRDefault="00AA1CDE" w14:paraId="46252D09" w14:textId="24E74C97">
      <w:pPr>
        <w:spacing w:line="360" w:lineRule="auto"/>
        <w:jc w:val="both"/>
        <w:rPr>
          <w:rFonts w:ascii="Maiandra GD" w:hAnsi="Maiandra GD"/>
          <w:sz w:val="24"/>
          <w:szCs w:val="24"/>
          <w:lang w:val="en-US"/>
        </w:rPr>
      </w:pPr>
      <w:r w:rsidRPr="003D6863">
        <w:rPr>
          <w:rFonts w:ascii="Maiandra GD" w:hAnsi="Maiandra GD"/>
          <w:sz w:val="24"/>
          <w:szCs w:val="24"/>
          <w:lang w:val="en-US"/>
        </w:rPr>
        <w:t xml:space="preserve">A company is defined as </w:t>
      </w:r>
      <w:r w:rsidRPr="003D6863" w:rsidR="005F078F">
        <w:rPr>
          <w:rFonts w:ascii="Maiandra GD" w:hAnsi="Maiandra GD"/>
          <w:sz w:val="24"/>
          <w:szCs w:val="24"/>
          <w:lang w:val="en-US"/>
        </w:rPr>
        <w:t>an artificial entity that is occupied and managed by its membership for the purpose of making profits.</w:t>
      </w:r>
      <w:r w:rsidRPr="003D6863" w:rsidR="00873726">
        <w:rPr>
          <w:rStyle w:val="FootnoteReference"/>
          <w:rFonts w:ascii="Maiandra GD" w:hAnsi="Maiandra GD"/>
          <w:sz w:val="24"/>
          <w:szCs w:val="24"/>
          <w:lang w:val="en-US"/>
        </w:rPr>
        <w:footnoteReference w:id="1"/>
      </w:r>
    </w:p>
    <w:p w:rsidRPr="003D6863" w:rsidR="005F078F" w:rsidP="00E57580" w:rsidRDefault="005F078F" w14:paraId="49472677" w14:textId="32801812">
      <w:pPr>
        <w:spacing w:line="360" w:lineRule="auto"/>
        <w:jc w:val="both"/>
        <w:rPr>
          <w:rFonts w:ascii="Maiandra GD" w:hAnsi="Maiandra GD"/>
          <w:sz w:val="24"/>
          <w:szCs w:val="24"/>
          <w:lang w:val="en-US"/>
        </w:rPr>
      </w:pPr>
      <w:r w:rsidRPr="003D6863">
        <w:rPr>
          <w:rFonts w:ascii="Maiandra GD" w:hAnsi="Maiandra GD"/>
          <w:sz w:val="24"/>
          <w:szCs w:val="24"/>
          <w:lang w:val="en-US"/>
        </w:rPr>
        <w:t xml:space="preserve">The human constituents whom form the membership of the company, determine the objectives of the corporate enterprise. </w:t>
      </w:r>
      <w:r w:rsidRPr="003D6863" w:rsidR="00063EC0">
        <w:rPr>
          <w:rFonts w:ascii="Maiandra GD" w:hAnsi="Maiandra GD"/>
          <w:sz w:val="24"/>
          <w:szCs w:val="24"/>
        </w:rPr>
        <w:t>As such, the registered company is a separate legal entity; it possesses rights and is subject to duties in much the same way as a natural person. For example, a company may sue and be sued in its own name and will be liable to pay its own form of tax</w:t>
      </w:r>
      <w:r w:rsidRPr="003D6863" w:rsidR="00063EC0">
        <w:rPr>
          <w:rFonts w:ascii="Maiandra GD" w:hAnsi="Maiandra GD"/>
          <w:sz w:val="24"/>
          <w:szCs w:val="24"/>
          <w:lang w:val="en-US"/>
        </w:rPr>
        <w:t>.</w:t>
      </w:r>
    </w:p>
    <w:p w:rsidRPr="003D6863" w:rsidR="005F078F" w:rsidP="00E57580" w:rsidRDefault="005F078F" w14:paraId="41861873" w14:textId="77282E0C">
      <w:pPr>
        <w:spacing w:line="360" w:lineRule="auto"/>
        <w:jc w:val="both"/>
        <w:rPr>
          <w:rFonts w:ascii="Maiandra GD" w:hAnsi="Maiandra GD"/>
          <w:sz w:val="24"/>
          <w:szCs w:val="24"/>
          <w:lang w:val="en-US"/>
        </w:rPr>
      </w:pPr>
      <w:r w:rsidRPr="003D6863">
        <w:rPr>
          <w:rFonts w:ascii="Maiandra GD" w:hAnsi="Maiandra GD"/>
          <w:sz w:val="24"/>
          <w:szCs w:val="24"/>
          <w:lang w:val="en-US"/>
        </w:rPr>
        <w:t xml:space="preserve">There </w:t>
      </w:r>
      <w:r w:rsidRPr="003D6863" w:rsidR="00063EC0">
        <w:rPr>
          <w:rFonts w:ascii="Maiandra GD" w:hAnsi="Maiandra GD"/>
          <w:sz w:val="24"/>
          <w:szCs w:val="24"/>
          <w:lang w:val="en-US"/>
        </w:rPr>
        <w:t xml:space="preserve">a </w:t>
      </w:r>
      <w:r w:rsidRPr="003D6863">
        <w:rPr>
          <w:rFonts w:ascii="Maiandra GD" w:hAnsi="Maiandra GD"/>
          <w:sz w:val="24"/>
          <w:szCs w:val="24"/>
          <w:lang w:val="en-US"/>
        </w:rPr>
        <w:t>vast majority or category of companies provided for under the Company Act of 2012, however many are registered as Limited Liability Companies (LTD)</w:t>
      </w:r>
      <w:r w:rsidRPr="003D6863" w:rsidR="00063EC0">
        <w:rPr>
          <w:rFonts w:ascii="Maiandra GD" w:hAnsi="Maiandra GD"/>
          <w:sz w:val="24"/>
          <w:szCs w:val="24"/>
          <w:lang w:val="en-US"/>
        </w:rPr>
        <w:t xml:space="preserve">. Therefore, </w:t>
      </w:r>
      <w:r w:rsidRPr="003D6863" w:rsidR="00063EC0">
        <w:rPr>
          <w:rFonts w:ascii="Maiandra GD" w:hAnsi="Maiandra GD"/>
          <w:sz w:val="24"/>
          <w:szCs w:val="24"/>
        </w:rPr>
        <w:t>A registered company with a limited-liability status is therefore responsible for its own actions and will be predominately liable for its own debts, where its debts exceed the extent of its membership’s limited liability</w:t>
      </w:r>
      <w:r w:rsidRPr="003D6863" w:rsidR="00063EC0">
        <w:rPr>
          <w:rFonts w:ascii="Maiandra GD" w:hAnsi="Maiandra GD"/>
          <w:sz w:val="24"/>
          <w:szCs w:val="24"/>
          <w:lang w:val="en-US"/>
        </w:rPr>
        <w:t>.</w:t>
      </w:r>
      <w:r w:rsidRPr="003D6863" w:rsidR="00063EC0">
        <w:rPr>
          <w:rStyle w:val="FootnoteReference"/>
          <w:rFonts w:ascii="Maiandra GD" w:hAnsi="Maiandra GD"/>
          <w:sz w:val="24"/>
          <w:szCs w:val="24"/>
          <w:lang w:val="en-US"/>
        </w:rPr>
        <w:footnoteReference w:id="2"/>
      </w:r>
    </w:p>
    <w:p w:rsidRPr="003D6863" w:rsidR="00063EC0" w:rsidP="00E57580" w:rsidRDefault="00063EC0" w14:paraId="5B7B7573" w14:textId="26885059">
      <w:pPr>
        <w:spacing w:line="360" w:lineRule="auto"/>
        <w:jc w:val="both"/>
        <w:rPr>
          <w:rFonts w:ascii="Maiandra GD" w:hAnsi="Maiandra GD"/>
          <w:sz w:val="24"/>
          <w:szCs w:val="24"/>
          <w:lang w:val="en-US"/>
        </w:rPr>
      </w:pPr>
      <w:r w:rsidRPr="003D6863">
        <w:rPr>
          <w:rFonts w:ascii="Maiandra GD" w:hAnsi="Maiandra GD"/>
          <w:sz w:val="24"/>
          <w:szCs w:val="24"/>
          <w:lang w:val="en-US"/>
        </w:rPr>
        <w:t>In Uganda, the matters of Company Law are guided by the Following Laws:</w:t>
      </w:r>
    </w:p>
    <w:p w:rsidRPr="003D6863" w:rsidR="00063EC0" w:rsidP="00E57580" w:rsidRDefault="00063EC0" w14:paraId="567F347B" w14:textId="6308D5AC">
      <w:pPr>
        <w:pStyle w:val="ListParagraph"/>
        <w:numPr>
          <w:ilvl w:val="0"/>
          <w:numId w:val="1"/>
        </w:numPr>
        <w:spacing w:line="360" w:lineRule="auto"/>
        <w:jc w:val="both"/>
        <w:rPr>
          <w:rFonts w:ascii="Maiandra GD" w:hAnsi="Maiandra GD"/>
          <w:sz w:val="24"/>
          <w:szCs w:val="24"/>
          <w:lang w:val="en-US"/>
        </w:rPr>
      </w:pPr>
      <w:r w:rsidRPr="003D6863">
        <w:rPr>
          <w:rFonts w:ascii="Maiandra GD" w:hAnsi="Maiandra GD"/>
          <w:sz w:val="24"/>
          <w:szCs w:val="24"/>
          <w:lang w:val="en-US"/>
        </w:rPr>
        <w:t>The Constitution of the Republic of Uganda</w:t>
      </w:r>
      <w:r w:rsidRPr="003D6863" w:rsidR="00873726">
        <w:rPr>
          <w:rFonts w:ascii="Maiandra GD" w:hAnsi="Maiandra GD"/>
          <w:sz w:val="24"/>
          <w:szCs w:val="24"/>
          <w:lang w:val="en-US"/>
        </w:rPr>
        <w:t xml:space="preserve"> 1995</w:t>
      </w:r>
      <w:r w:rsidRPr="003D6863">
        <w:rPr>
          <w:rFonts w:ascii="Maiandra GD" w:hAnsi="Maiandra GD"/>
          <w:sz w:val="24"/>
          <w:szCs w:val="24"/>
          <w:lang w:val="en-US"/>
        </w:rPr>
        <w:t>, as amended in relation to the right to Ownership of Property.</w:t>
      </w:r>
      <w:r w:rsidRPr="003D6863" w:rsidR="00873726">
        <w:rPr>
          <w:rStyle w:val="FootnoteReference"/>
          <w:rFonts w:ascii="Maiandra GD" w:hAnsi="Maiandra GD"/>
          <w:sz w:val="24"/>
          <w:szCs w:val="24"/>
          <w:lang w:val="en-US"/>
        </w:rPr>
        <w:footnoteReference w:id="3"/>
      </w:r>
    </w:p>
    <w:p w:rsidRPr="003D6863" w:rsidR="00873726" w:rsidP="00E57580" w:rsidRDefault="00873726" w14:paraId="5E0E3B61" w14:textId="1721ADFD">
      <w:pPr>
        <w:pStyle w:val="ListParagraph"/>
        <w:numPr>
          <w:ilvl w:val="0"/>
          <w:numId w:val="1"/>
        </w:numPr>
        <w:spacing w:line="360" w:lineRule="auto"/>
        <w:jc w:val="both"/>
        <w:rPr>
          <w:rFonts w:ascii="Maiandra GD" w:hAnsi="Maiandra GD"/>
          <w:sz w:val="24"/>
          <w:szCs w:val="24"/>
          <w:lang w:val="en-US"/>
        </w:rPr>
      </w:pPr>
      <w:r w:rsidRPr="003D6863">
        <w:rPr>
          <w:rFonts w:ascii="Maiandra GD" w:hAnsi="Maiandra GD"/>
          <w:sz w:val="24"/>
          <w:szCs w:val="24"/>
          <w:lang w:val="en-US"/>
        </w:rPr>
        <w:t>The Companies Act 2012, which is the primary statute for the formation, management and deregulation of registered legal entities.</w:t>
      </w:r>
    </w:p>
    <w:p w:rsidRPr="00E415E2" w:rsidR="00873726" w:rsidP="00E415E2" w:rsidRDefault="00E415E2" w14:paraId="021C9243" w14:textId="5FEC0B44">
      <w:pPr>
        <w:spacing w:line="360" w:lineRule="auto"/>
        <w:jc w:val="both"/>
        <w:rPr>
          <w:rFonts w:ascii="Maiandra GD" w:hAnsi="Maiandra GD"/>
          <w:sz w:val="24"/>
          <w:szCs w:val="24"/>
          <w:lang w:val="en-US"/>
        </w:rPr>
      </w:pPr>
      <w:r>
        <w:rPr>
          <w:rFonts w:ascii="Maiandra GD" w:hAnsi="Maiandra GD"/>
          <w:sz w:val="24"/>
          <w:szCs w:val="24"/>
          <w:lang w:val="en-US"/>
        </w:rPr>
        <w:t>In Uganda, the Regulatory body mandated to Register Companies is the Uganda Registration Services Bureau (URSB)</w:t>
      </w:r>
      <w:r>
        <w:rPr>
          <w:rStyle w:val="FootnoteReference"/>
          <w:rFonts w:ascii="Maiandra GD" w:hAnsi="Maiandra GD"/>
          <w:sz w:val="24"/>
          <w:szCs w:val="24"/>
          <w:lang w:val="en-US"/>
        </w:rPr>
        <w:footnoteReference w:id="4"/>
      </w:r>
      <w:r>
        <w:rPr>
          <w:rFonts w:ascii="Maiandra GD" w:hAnsi="Maiandra GD"/>
          <w:sz w:val="24"/>
          <w:szCs w:val="24"/>
          <w:lang w:val="en-US"/>
        </w:rPr>
        <w:t xml:space="preserve"> </w:t>
      </w:r>
    </w:p>
    <w:p w:rsidRPr="003D6863" w:rsidR="003D6863" w:rsidP="00E57580" w:rsidRDefault="003D6863" w14:paraId="63BD00FD" w14:textId="77777777">
      <w:pPr>
        <w:spacing w:line="360" w:lineRule="auto"/>
        <w:jc w:val="both"/>
        <w:rPr>
          <w:rFonts w:ascii="Maiandra GD" w:hAnsi="Maiandra GD"/>
          <w:b/>
          <w:sz w:val="24"/>
          <w:szCs w:val="24"/>
        </w:rPr>
      </w:pPr>
      <w:r w:rsidRPr="003D6863">
        <w:rPr>
          <w:rFonts w:ascii="Maiandra GD" w:hAnsi="Maiandra GD"/>
          <w:b/>
          <w:sz w:val="24"/>
          <w:szCs w:val="24"/>
        </w:rPr>
        <w:t xml:space="preserve">What is the procedure of setting up the new company? </w:t>
      </w:r>
    </w:p>
    <w:p w:rsidRPr="00E57580" w:rsidR="003D6863" w:rsidP="00E57580" w:rsidRDefault="00E57580" w14:paraId="64DBCFA9" w14:textId="22A70D98">
      <w:pPr>
        <w:spacing w:line="360" w:lineRule="auto"/>
        <w:jc w:val="both"/>
        <w:rPr>
          <w:rFonts w:ascii="Maiandra GD" w:hAnsi="Maiandra GD"/>
          <w:sz w:val="24"/>
          <w:szCs w:val="24"/>
          <w:lang w:val="en-US"/>
        </w:rPr>
      </w:pPr>
      <w:r w:rsidRPr="003D6863">
        <w:rPr>
          <w:rFonts w:ascii="Maiandra GD" w:hAnsi="Maiandra GD"/>
          <w:sz w:val="24"/>
          <w:szCs w:val="24"/>
          <w:lang w:val="en-US"/>
        </w:rPr>
        <w:t>The procedure for the Registration of a Company within the territory of Uganda is provided for under Section 17 – 19 of the Companies Act.</w:t>
      </w:r>
    </w:p>
    <w:p w:rsidRPr="003D6863" w:rsidR="003D6863" w:rsidP="00E57580" w:rsidRDefault="003D6863" w14:paraId="5FBA79DB" w14:textId="77777777">
      <w:pPr>
        <w:pStyle w:val="ListParagraph"/>
        <w:widowControl w:val="0"/>
        <w:numPr>
          <w:ilvl w:val="0"/>
          <w:numId w:val="3"/>
        </w:numPr>
        <w:autoSpaceDE w:val="0"/>
        <w:autoSpaceDN w:val="0"/>
        <w:adjustRightInd w:val="0"/>
        <w:spacing w:before="19" w:after="0" w:line="360" w:lineRule="auto"/>
        <w:ind w:right="270"/>
        <w:jc w:val="both"/>
        <w:rPr>
          <w:rFonts w:ascii="Maiandra GD" w:hAnsi="Maiandra GD"/>
          <w:bCs/>
          <w:sz w:val="24"/>
          <w:szCs w:val="24"/>
        </w:rPr>
      </w:pPr>
      <w:r w:rsidRPr="003D6863">
        <w:rPr>
          <w:rFonts w:ascii="Maiandra GD" w:hAnsi="Maiandra GD"/>
          <w:bCs/>
          <w:sz w:val="24"/>
          <w:szCs w:val="24"/>
        </w:rPr>
        <w:t xml:space="preserve"> The process of company registration begins by the promoters of the company conducting a search to determine whether the name is still open for reservation.</w:t>
      </w:r>
    </w:p>
    <w:p w:rsidRPr="003D6863" w:rsidR="003D6863" w:rsidP="00E57580" w:rsidRDefault="003D6863" w14:paraId="0FE1C33E" w14:textId="77777777">
      <w:pPr>
        <w:widowControl w:val="0"/>
        <w:autoSpaceDE w:val="0"/>
        <w:autoSpaceDN w:val="0"/>
        <w:adjustRightInd w:val="0"/>
        <w:spacing w:before="19" w:after="0" w:line="360" w:lineRule="auto"/>
        <w:ind w:right="270"/>
        <w:jc w:val="both"/>
        <w:rPr>
          <w:rFonts w:ascii="Maiandra GD" w:hAnsi="Maiandra GD"/>
          <w:bCs/>
          <w:sz w:val="24"/>
          <w:szCs w:val="24"/>
        </w:rPr>
      </w:pPr>
    </w:p>
    <w:p w:rsidR="003D6863" w:rsidP="00E57580" w:rsidRDefault="003D6863" w14:paraId="5967221E" w14:textId="3A886199">
      <w:pPr>
        <w:pStyle w:val="ListParagraph"/>
        <w:widowControl w:val="0"/>
        <w:numPr>
          <w:ilvl w:val="0"/>
          <w:numId w:val="3"/>
        </w:numPr>
        <w:autoSpaceDE w:val="0"/>
        <w:autoSpaceDN w:val="0"/>
        <w:adjustRightInd w:val="0"/>
        <w:spacing w:before="19" w:after="0" w:line="360" w:lineRule="auto"/>
        <w:ind w:right="270"/>
        <w:jc w:val="both"/>
        <w:rPr>
          <w:rFonts w:ascii="Maiandra GD" w:hAnsi="Maiandra GD"/>
          <w:bCs/>
          <w:sz w:val="24"/>
          <w:szCs w:val="24"/>
        </w:rPr>
      </w:pPr>
      <w:r w:rsidRPr="00E45DF2">
        <w:rPr>
          <w:rFonts w:ascii="Maiandra GD" w:hAnsi="Maiandra GD"/>
          <w:bCs/>
          <w:sz w:val="24"/>
          <w:szCs w:val="24"/>
        </w:rPr>
        <w:lastRenderedPageBreak/>
        <w:t xml:space="preserve"> Under section 36(1), the registrar on application of the promoters, representative of the company or advocate  reserve the name of the company.  The reservation remains in force for a period of 30 days and may be extended by the registrar for a period of 60 days. The name of the company should be desirable and not confusing to right thinking members of society. </w:t>
      </w:r>
    </w:p>
    <w:p w:rsidRPr="00DF4874" w:rsidR="00E45DF2" w:rsidP="00DF4874" w:rsidRDefault="00E45DF2" w14:paraId="1D150553" w14:textId="77777777">
      <w:pPr>
        <w:widowControl w:val="0"/>
        <w:autoSpaceDE w:val="0"/>
        <w:autoSpaceDN w:val="0"/>
        <w:adjustRightInd w:val="0"/>
        <w:spacing w:before="19" w:after="0" w:line="360" w:lineRule="auto"/>
        <w:ind w:right="270"/>
        <w:jc w:val="both"/>
        <w:rPr>
          <w:rFonts w:ascii="Maiandra GD" w:hAnsi="Maiandra GD"/>
          <w:bCs/>
          <w:sz w:val="24"/>
          <w:szCs w:val="24"/>
        </w:rPr>
      </w:pPr>
    </w:p>
    <w:p w:rsidRPr="003D6863" w:rsidR="003D6863" w:rsidP="00E57580" w:rsidRDefault="003D6863" w14:paraId="6494BBE0" w14:textId="02D93BAC">
      <w:pPr>
        <w:pStyle w:val="ListParagraph"/>
        <w:widowControl w:val="0"/>
        <w:numPr>
          <w:ilvl w:val="0"/>
          <w:numId w:val="3"/>
        </w:numPr>
        <w:autoSpaceDE w:val="0"/>
        <w:autoSpaceDN w:val="0"/>
        <w:adjustRightInd w:val="0"/>
        <w:spacing w:before="19" w:after="0" w:line="360" w:lineRule="auto"/>
        <w:ind w:right="270"/>
        <w:jc w:val="both"/>
        <w:rPr>
          <w:rFonts w:ascii="Maiandra GD" w:hAnsi="Maiandra GD"/>
          <w:bCs/>
          <w:sz w:val="24"/>
          <w:szCs w:val="24"/>
        </w:rPr>
      </w:pPr>
      <w:r w:rsidRPr="003D6863">
        <w:rPr>
          <w:rFonts w:ascii="Maiandra GD" w:hAnsi="Maiandra GD"/>
          <w:bCs/>
          <w:sz w:val="24"/>
          <w:szCs w:val="24"/>
        </w:rPr>
        <w:t>On registration, the Memorandum and Articles of Association are delivered to the registrar office and he shall assign a registration number to each company registered.</w:t>
      </w:r>
      <w:r w:rsidR="00E57580">
        <w:rPr>
          <w:rFonts w:ascii="Maiandra GD" w:hAnsi="Maiandra GD"/>
          <w:bCs/>
          <w:sz w:val="24"/>
          <w:szCs w:val="24"/>
          <w:lang w:val="en-US"/>
        </w:rPr>
        <w:t xml:space="preserve"> </w:t>
      </w:r>
    </w:p>
    <w:p w:rsidRPr="003D6863" w:rsidR="003D6863" w:rsidP="00E57580" w:rsidRDefault="003D6863" w14:paraId="38F87E8E" w14:textId="77777777">
      <w:pPr>
        <w:pStyle w:val="ListParagraph"/>
        <w:spacing w:line="360" w:lineRule="auto"/>
        <w:rPr>
          <w:rFonts w:ascii="Maiandra GD" w:hAnsi="Maiandra GD"/>
          <w:bCs/>
          <w:sz w:val="24"/>
          <w:szCs w:val="24"/>
        </w:rPr>
      </w:pPr>
    </w:p>
    <w:p w:rsidRPr="00E57580" w:rsidR="003D6863" w:rsidP="00E57580" w:rsidRDefault="003D6863" w14:paraId="301BE2EE" w14:textId="77777777">
      <w:pPr>
        <w:widowControl w:val="0"/>
        <w:autoSpaceDE w:val="0"/>
        <w:autoSpaceDN w:val="0"/>
        <w:adjustRightInd w:val="0"/>
        <w:spacing w:before="19" w:after="0" w:line="360" w:lineRule="auto"/>
        <w:ind w:right="270"/>
        <w:jc w:val="both"/>
        <w:rPr>
          <w:rFonts w:ascii="Maiandra GD" w:hAnsi="Maiandra GD"/>
          <w:bCs/>
          <w:i/>
          <w:iCs/>
          <w:sz w:val="24"/>
          <w:szCs w:val="24"/>
        </w:rPr>
      </w:pPr>
      <w:r w:rsidRPr="00E57580">
        <w:rPr>
          <w:rFonts w:ascii="Maiandra GD" w:hAnsi="Maiandra GD"/>
          <w:bCs/>
          <w:i/>
          <w:iCs/>
          <w:sz w:val="24"/>
          <w:szCs w:val="24"/>
        </w:rPr>
        <w:t>Section 7 of the Companies Act provides that the memorandum of every company is printed and is in English, stating the name of the company, with the word Limited. where it is a private limited company, it shall state the liability of its members. Under section 7(4) where the company has share capital, the division of the shares should be reflected for each subscriber in the Memorandum. The memorandum should be signed by each shareholder and attested to by a witness stating the occupation and postal address of each member as provided for in Section 8 of the Companies Act.</w:t>
      </w:r>
    </w:p>
    <w:p w:rsidRPr="00E57580" w:rsidR="003D6863" w:rsidP="00E57580" w:rsidRDefault="003D6863" w14:paraId="286AE905" w14:textId="27CD475E">
      <w:pPr>
        <w:widowControl w:val="0"/>
        <w:autoSpaceDE w:val="0"/>
        <w:autoSpaceDN w:val="0"/>
        <w:adjustRightInd w:val="0"/>
        <w:spacing w:before="19" w:after="0" w:line="360" w:lineRule="auto"/>
        <w:ind w:right="270"/>
        <w:jc w:val="both"/>
        <w:rPr>
          <w:rFonts w:ascii="Maiandra GD" w:hAnsi="Maiandra GD"/>
          <w:bCs/>
          <w:i/>
          <w:iCs/>
          <w:sz w:val="24"/>
          <w:szCs w:val="24"/>
        </w:rPr>
      </w:pPr>
      <w:r w:rsidRPr="00E57580">
        <w:rPr>
          <w:rFonts w:ascii="Maiandra GD" w:hAnsi="Maiandra GD"/>
          <w:bCs/>
          <w:i/>
          <w:iCs/>
          <w:sz w:val="24"/>
          <w:szCs w:val="24"/>
        </w:rPr>
        <w:t>Under section 11 of the Act, the Articles of Association will also be submitted to the registrar in addition to the memorandum of the company. The articles of Association govern the general management of the company. The Articles of Association may adopt any or all the provisions of Table A of the Act.</w:t>
      </w:r>
      <w:r w:rsidR="00E57580">
        <w:rPr>
          <w:rStyle w:val="FootnoteReference"/>
          <w:rFonts w:ascii="Maiandra GD" w:hAnsi="Maiandra GD"/>
          <w:bCs/>
          <w:i/>
          <w:iCs/>
          <w:sz w:val="24"/>
          <w:szCs w:val="24"/>
        </w:rPr>
        <w:footnoteReference w:id="5"/>
      </w:r>
    </w:p>
    <w:p w:rsidRPr="003D6863" w:rsidR="003D6863" w:rsidP="00E57580" w:rsidRDefault="003D6863" w14:paraId="287A1C91" w14:textId="77777777">
      <w:pPr>
        <w:pStyle w:val="ListParagraph"/>
        <w:spacing w:line="360" w:lineRule="auto"/>
        <w:rPr>
          <w:rFonts w:ascii="Maiandra GD" w:hAnsi="Maiandra GD"/>
          <w:bCs/>
          <w:sz w:val="24"/>
          <w:szCs w:val="24"/>
        </w:rPr>
      </w:pPr>
    </w:p>
    <w:p w:rsidRPr="003D6863" w:rsidR="003D6863" w:rsidP="00E57580" w:rsidRDefault="003D6863" w14:paraId="6FA69F8B" w14:textId="6E4B5711">
      <w:pPr>
        <w:pStyle w:val="ListParagraph"/>
        <w:widowControl w:val="0"/>
        <w:numPr>
          <w:ilvl w:val="0"/>
          <w:numId w:val="3"/>
        </w:numPr>
        <w:autoSpaceDE w:val="0"/>
        <w:autoSpaceDN w:val="0"/>
        <w:adjustRightInd w:val="0"/>
        <w:spacing w:before="19" w:after="0" w:line="360" w:lineRule="auto"/>
        <w:ind w:right="270"/>
        <w:jc w:val="both"/>
        <w:rPr>
          <w:rFonts w:ascii="Maiandra GD" w:hAnsi="Maiandra GD"/>
          <w:bCs/>
          <w:sz w:val="24"/>
          <w:szCs w:val="24"/>
        </w:rPr>
      </w:pPr>
      <w:r w:rsidRPr="003D6863">
        <w:rPr>
          <w:rFonts w:ascii="Maiandra GD" w:hAnsi="Maiandra GD"/>
          <w:bCs/>
          <w:sz w:val="24"/>
          <w:szCs w:val="24"/>
        </w:rPr>
        <w:t xml:space="preserve">The </w:t>
      </w:r>
      <w:r w:rsidR="00E57580">
        <w:rPr>
          <w:rFonts w:ascii="Maiandra GD" w:hAnsi="Maiandra GD"/>
          <w:bCs/>
          <w:sz w:val="24"/>
          <w:szCs w:val="24"/>
          <w:lang w:val="en-US"/>
        </w:rPr>
        <w:t>M</w:t>
      </w:r>
      <w:r w:rsidRPr="003D6863">
        <w:rPr>
          <w:rFonts w:ascii="Maiandra GD" w:hAnsi="Maiandra GD"/>
          <w:bCs/>
          <w:sz w:val="24"/>
          <w:szCs w:val="24"/>
        </w:rPr>
        <w:t xml:space="preserve">emorandum and </w:t>
      </w:r>
      <w:r w:rsidR="00E57580">
        <w:rPr>
          <w:rFonts w:ascii="Maiandra GD" w:hAnsi="Maiandra GD"/>
          <w:bCs/>
          <w:sz w:val="24"/>
          <w:szCs w:val="24"/>
          <w:lang w:val="en-US"/>
        </w:rPr>
        <w:t>A</w:t>
      </w:r>
      <w:r w:rsidRPr="003D6863">
        <w:rPr>
          <w:rFonts w:ascii="Maiandra GD" w:hAnsi="Maiandra GD"/>
          <w:bCs/>
          <w:sz w:val="24"/>
          <w:szCs w:val="24"/>
        </w:rPr>
        <w:t xml:space="preserve">rticles of </w:t>
      </w:r>
      <w:r w:rsidR="00E57580">
        <w:rPr>
          <w:rFonts w:ascii="Maiandra GD" w:hAnsi="Maiandra GD"/>
          <w:bCs/>
          <w:sz w:val="24"/>
          <w:szCs w:val="24"/>
          <w:lang w:val="en-US"/>
        </w:rPr>
        <w:t>A</w:t>
      </w:r>
      <w:r w:rsidRPr="003D6863">
        <w:rPr>
          <w:rFonts w:ascii="Maiandra GD" w:hAnsi="Maiandra GD"/>
          <w:bCs/>
          <w:sz w:val="24"/>
          <w:szCs w:val="24"/>
        </w:rPr>
        <w:t>ssociation are accompanied by the following forms:</w:t>
      </w:r>
    </w:p>
    <w:p w:rsidRPr="003D6863" w:rsidR="003D6863" w:rsidP="00E57580" w:rsidRDefault="003D6863" w14:paraId="66439287" w14:textId="77777777">
      <w:pPr>
        <w:pStyle w:val="ListParagraph"/>
        <w:spacing w:line="360" w:lineRule="auto"/>
        <w:rPr>
          <w:rFonts w:ascii="Maiandra GD" w:hAnsi="Maiandra GD"/>
          <w:bCs/>
          <w:sz w:val="24"/>
          <w:szCs w:val="24"/>
        </w:rPr>
      </w:pPr>
    </w:p>
    <w:p w:rsidRPr="003D6863" w:rsidR="003D6863" w:rsidP="00E57580" w:rsidRDefault="003D6863" w14:paraId="495928C6" w14:textId="77777777">
      <w:pPr>
        <w:pStyle w:val="ListParagraph"/>
        <w:widowControl w:val="0"/>
        <w:numPr>
          <w:ilvl w:val="0"/>
          <w:numId w:val="4"/>
        </w:numPr>
        <w:autoSpaceDE w:val="0"/>
        <w:autoSpaceDN w:val="0"/>
        <w:adjustRightInd w:val="0"/>
        <w:spacing w:before="19" w:after="0" w:line="360" w:lineRule="auto"/>
        <w:ind w:right="270"/>
        <w:jc w:val="both"/>
        <w:rPr>
          <w:rFonts w:ascii="Maiandra GD" w:hAnsi="Maiandra GD"/>
          <w:bCs/>
          <w:sz w:val="24"/>
          <w:szCs w:val="24"/>
        </w:rPr>
      </w:pPr>
      <w:r w:rsidRPr="003D6863">
        <w:rPr>
          <w:rFonts w:ascii="Maiandra GD" w:hAnsi="Maiandra GD"/>
          <w:bCs/>
          <w:sz w:val="24"/>
          <w:szCs w:val="24"/>
        </w:rPr>
        <w:t>Company’s Statement of nominal share capital</w:t>
      </w:r>
    </w:p>
    <w:p w:rsidRPr="003D6863" w:rsidR="003D6863" w:rsidP="00E57580" w:rsidRDefault="003D6863" w14:paraId="09873FE4" w14:textId="41520875">
      <w:pPr>
        <w:pStyle w:val="ListParagraph"/>
        <w:widowControl w:val="0"/>
        <w:autoSpaceDE w:val="0"/>
        <w:autoSpaceDN w:val="0"/>
        <w:adjustRightInd w:val="0"/>
        <w:spacing w:before="19" w:after="0" w:line="360" w:lineRule="auto"/>
        <w:ind w:right="270"/>
        <w:jc w:val="both"/>
        <w:rPr>
          <w:rFonts w:ascii="Maiandra GD" w:hAnsi="Maiandra GD"/>
          <w:bCs/>
          <w:sz w:val="24"/>
          <w:szCs w:val="24"/>
        </w:rPr>
      </w:pPr>
      <w:r w:rsidRPr="003D6863">
        <w:rPr>
          <w:rFonts w:ascii="Maiandra GD" w:hAnsi="Maiandra GD"/>
          <w:bCs/>
          <w:sz w:val="24"/>
          <w:szCs w:val="24"/>
        </w:rPr>
        <w:t xml:space="preserve">2) </w:t>
      </w:r>
      <w:r>
        <w:rPr>
          <w:rFonts w:ascii="Maiandra GD" w:hAnsi="Maiandra GD"/>
          <w:bCs/>
          <w:sz w:val="24"/>
          <w:szCs w:val="24"/>
          <w:lang w:val="en-US"/>
        </w:rPr>
        <w:t xml:space="preserve"> </w:t>
      </w:r>
      <w:r w:rsidRPr="003D6863">
        <w:rPr>
          <w:rFonts w:ascii="Maiandra GD" w:hAnsi="Maiandra GD"/>
          <w:bCs/>
          <w:sz w:val="24"/>
          <w:szCs w:val="24"/>
        </w:rPr>
        <w:t>Statement of the particulars of Directors</w:t>
      </w:r>
    </w:p>
    <w:p w:rsidR="003D6863" w:rsidP="00E57580" w:rsidRDefault="003D6863" w14:paraId="24AAC0DB" w14:textId="6FD61E6D">
      <w:pPr>
        <w:pStyle w:val="ListParagraph"/>
        <w:widowControl w:val="0"/>
        <w:autoSpaceDE w:val="0"/>
        <w:autoSpaceDN w:val="0"/>
        <w:adjustRightInd w:val="0"/>
        <w:spacing w:before="19" w:after="0" w:line="360" w:lineRule="auto"/>
        <w:ind w:right="270"/>
        <w:jc w:val="both"/>
        <w:rPr>
          <w:rFonts w:ascii="Maiandra GD" w:hAnsi="Maiandra GD"/>
          <w:bCs/>
          <w:sz w:val="24"/>
          <w:szCs w:val="24"/>
        </w:rPr>
      </w:pPr>
      <w:r w:rsidRPr="003D6863">
        <w:rPr>
          <w:rFonts w:ascii="Maiandra GD" w:hAnsi="Maiandra GD"/>
          <w:bCs/>
          <w:sz w:val="24"/>
          <w:szCs w:val="24"/>
        </w:rPr>
        <w:t xml:space="preserve">4) company form 9- notice of situation of registered office </w:t>
      </w:r>
    </w:p>
    <w:p w:rsidRPr="003D6863" w:rsidR="003D6863" w:rsidP="00E57580" w:rsidRDefault="003D6863" w14:paraId="3404A0C7" w14:textId="77777777">
      <w:pPr>
        <w:widowControl w:val="0"/>
        <w:autoSpaceDE w:val="0"/>
        <w:autoSpaceDN w:val="0"/>
        <w:adjustRightInd w:val="0"/>
        <w:spacing w:before="19" w:after="0" w:line="360" w:lineRule="auto"/>
        <w:ind w:right="270"/>
        <w:jc w:val="both"/>
        <w:rPr>
          <w:rFonts w:ascii="Maiandra GD" w:hAnsi="Maiandra GD"/>
          <w:bCs/>
          <w:sz w:val="24"/>
          <w:szCs w:val="24"/>
        </w:rPr>
      </w:pPr>
    </w:p>
    <w:p w:rsidR="003D6863" w:rsidP="00E57580" w:rsidRDefault="003D6863" w14:paraId="3098C7F0" w14:textId="5A5AACEA">
      <w:pPr>
        <w:pStyle w:val="ListParagraph"/>
        <w:widowControl w:val="0"/>
        <w:numPr>
          <w:ilvl w:val="0"/>
          <w:numId w:val="3"/>
        </w:numPr>
        <w:autoSpaceDE w:val="0"/>
        <w:autoSpaceDN w:val="0"/>
        <w:adjustRightInd w:val="0"/>
        <w:spacing w:before="19" w:after="0" w:line="360" w:lineRule="auto"/>
        <w:ind w:right="270"/>
        <w:jc w:val="both"/>
        <w:rPr>
          <w:rFonts w:ascii="Maiandra GD" w:hAnsi="Maiandra GD"/>
          <w:b/>
          <w:sz w:val="24"/>
          <w:szCs w:val="24"/>
        </w:rPr>
      </w:pPr>
      <w:r w:rsidRPr="003D6863">
        <w:rPr>
          <w:rFonts w:ascii="Maiandra GD" w:hAnsi="Maiandra GD"/>
          <w:b/>
          <w:sz w:val="24"/>
          <w:szCs w:val="24"/>
        </w:rPr>
        <w:lastRenderedPageBreak/>
        <w:t>The fees payable at Registration:</w:t>
      </w:r>
      <w:r>
        <w:rPr>
          <w:rStyle w:val="FootnoteReference"/>
          <w:rFonts w:ascii="Maiandra GD" w:hAnsi="Maiandra GD"/>
          <w:b/>
          <w:sz w:val="24"/>
          <w:szCs w:val="24"/>
        </w:rPr>
        <w:footnoteReference w:id="6"/>
      </w:r>
    </w:p>
    <w:p w:rsidRPr="003D6863" w:rsidR="00E57580" w:rsidP="00E57580" w:rsidRDefault="00E57580" w14:paraId="63A86F3D" w14:textId="77777777">
      <w:pPr>
        <w:pStyle w:val="ListParagraph"/>
        <w:widowControl w:val="0"/>
        <w:autoSpaceDE w:val="0"/>
        <w:autoSpaceDN w:val="0"/>
        <w:adjustRightInd w:val="0"/>
        <w:spacing w:before="19" w:after="0" w:line="360" w:lineRule="auto"/>
        <w:ind w:right="270"/>
        <w:jc w:val="both"/>
        <w:rPr>
          <w:rFonts w:ascii="Maiandra GD" w:hAnsi="Maiandra GD"/>
          <w:b/>
          <w:sz w:val="24"/>
          <w:szCs w:val="24"/>
        </w:rPr>
      </w:pPr>
    </w:p>
    <w:tbl>
      <w:tblPr>
        <w:tblStyle w:val="TableGrid"/>
        <w:tblW w:w="9016" w:type="dxa"/>
        <w:tblLook w:val="04A0" w:firstRow="1" w:lastRow="0" w:firstColumn="1" w:lastColumn="0" w:noHBand="0" w:noVBand="1"/>
      </w:tblPr>
      <w:tblGrid>
        <w:gridCol w:w="9016"/>
      </w:tblGrid>
      <w:tr w:rsidR="00E57580" w:rsidTr="694C620A" w14:paraId="333A674F" w14:textId="77777777">
        <w:tc>
          <w:tcPr>
            <w:tcW w:w="9016" w:type="dxa"/>
            <w:tcMar/>
          </w:tcPr>
          <w:p w:rsidR="00E57580" w:rsidP="00E57580" w:rsidRDefault="00E57580" w14:paraId="5AD230CB" w14:textId="40D0E170">
            <w:pPr>
              <w:widowControl w:val="0"/>
              <w:autoSpaceDE w:val="0"/>
              <w:autoSpaceDN w:val="0"/>
              <w:adjustRightInd w:val="0"/>
              <w:spacing w:before="74" w:line="360" w:lineRule="auto"/>
              <w:ind w:right="1033"/>
              <w:jc w:val="both"/>
              <w:rPr>
                <w:rFonts w:ascii="Maiandra GD" w:hAnsi="Maiandra GD"/>
                <w:bCs/>
                <w:sz w:val="24"/>
                <w:szCs w:val="24"/>
              </w:rPr>
            </w:pPr>
            <w:r w:rsidRPr="003D6863">
              <w:rPr>
                <w:rFonts w:ascii="Maiandra GD" w:hAnsi="Maiandra GD"/>
                <w:b/>
                <w:sz w:val="24"/>
                <w:szCs w:val="24"/>
              </w:rPr>
              <w:t>TAX</w:t>
            </w:r>
          </w:p>
        </w:tc>
      </w:tr>
      <w:tr w:rsidR="694C620A" w:rsidTr="694C620A" w14:paraId="6EC37CCB">
        <w:trPr>
          <w:trHeight w:val="300"/>
        </w:trPr>
        <w:tc>
          <w:tcPr>
            <w:tcW w:w="9016" w:type="dxa"/>
            <w:tcMar/>
          </w:tcPr>
          <w:p w:rsidR="126F1168" w:rsidP="694C620A" w:rsidRDefault="126F1168" w14:paraId="792ED25C" w14:textId="06A43BB2">
            <w:pPr>
              <w:pStyle w:val="Normal"/>
              <w:spacing w:line="360" w:lineRule="auto"/>
              <w:jc w:val="both"/>
              <w:rPr>
                <w:rFonts w:ascii="Maiandra GD" w:hAnsi="Maiandra GD"/>
                <w:b w:val="0"/>
                <w:bCs w:val="0"/>
                <w:sz w:val="24"/>
                <w:szCs w:val="24"/>
              </w:rPr>
            </w:pPr>
            <w:r w:rsidRPr="694C620A" w:rsidR="126F1168">
              <w:rPr>
                <w:rFonts w:ascii="Maiandra GD" w:hAnsi="Maiandra GD"/>
                <w:b w:val="0"/>
                <w:bCs w:val="0"/>
                <w:sz w:val="24"/>
                <w:szCs w:val="24"/>
              </w:rPr>
              <w:t>Reservation of Company Name</w:t>
            </w:r>
          </w:p>
        </w:tc>
      </w:tr>
      <w:tr w:rsidR="00E57580" w:rsidTr="694C620A" w14:paraId="4CBDAA34" w14:textId="77777777">
        <w:tc>
          <w:tcPr>
            <w:tcW w:w="9016" w:type="dxa"/>
            <w:tcMar/>
          </w:tcPr>
          <w:p w:rsidR="00E57580" w:rsidP="694C620A" w:rsidRDefault="00E57580" w14:paraId="741A5A5E" w14:textId="0DA0961F">
            <w:pPr>
              <w:widowControl w:val="0"/>
              <w:autoSpaceDE w:val="0"/>
              <w:autoSpaceDN w:val="0"/>
              <w:adjustRightInd w:val="0"/>
              <w:spacing w:before="74" w:line="360" w:lineRule="auto"/>
              <w:ind w:right="1033"/>
              <w:jc w:val="both"/>
              <w:rPr>
                <w:rFonts w:ascii="Maiandra GD" w:hAnsi="Maiandra GD"/>
                <w:sz w:val="24"/>
                <w:szCs w:val="24"/>
              </w:rPr>
            </w:pPr>
            <w:r w:rsidRPr="694C620A" w:rsidR="00E57580">
              <w:rPr>
                <w:rFonts w:ascii="Maiandra GD" w:hAnsi="Maiandra GD"/>
                <w:sz w:val="24"/>
                <w:szCs w:val="24"/>
              </w:rPr>
              <w:t xml:space="preserve">Registration fee of </w:t>
            </w:r>
            <w:r w:rsidRPr="694C620A" w:rsidR="00AA5312">
              <w:rPr>
                <w:rFonts w:ascii="Maiandra GD" w:hAnsi="Maiandra GD"/>
                <w:sz w:val="24"/>
                <w:szCs w:val="24"/>
                <w:lang w:val="en-US"/>
              </w:rPr>
              <w:t xml:space="preserve">Uganda Shillings </w:t>
            </w:r>
            <w:r w:rsidRPr="694C620A" w:rsidR="00E57580">
              <w:rPr>
                <w:rFonts w:ascii="Maiandra GD" w:hAnsi="Maiandra GD"/>
                <w:sz w:val="24"/>
                <w:szCs w:val="24"/>
              </w:rPr>
              <w:t xml:space="preserve">20,000 </w:t>
            </w:r>
          </w:p>
        </w:tc>
      </w:tr>
      <w:tr w:rsidR="00E57580" w:rsidTr="694C620A" w14:paraId="21BFEAD6" w14:textId="77777777">
        <w:tc>
          <w:tcPr>
            <w:tcW w:w="9016" w:type="dxa"/>
            <w:tcMar/>
          </w:tcPr>
          <w:p w:rsidR="00E57580" w:rsidP="00E57580" w:rsidRDefault="00E57580" w14:paraId="6FC83B86" w14:textId="55701D4D">
            <w:pPr>
              <w:widowControl w:val="0"/>
              <w:autoSpaceDE w:val="0"/>
              <w:autoSpaceDN w:val="0"/>
              <w:adjustRightInd w:val="0"/>
              <w:spacing w:before="74" w:line="360" w:lineRule="auto"/>
              <w:ind w:right="1033"/>
              <w:jc w:val="both"/>
              <w:rPr>
                <w:rFonts w:ascii="Maiandra GD" w:hAnsi="Maiandra GD"/>
                <w:bCs/>
                <w:sz w:val="24"/>
                <w:szCs w:val="24"/>
              </w:rPr>
            </w:pPr>
            <w:r w:rsidRPr="003D6863">
              <w:rPr>
                <w:rFonts w:ascii="Maiandra GD" w:hAnsi="Maiandra GD"/>
                <w:bCs/>
                <w:sz w:val="24"/>
                <w:szCs w:val="24"/>
              </w:rPr>
              <w:t xml:space="preserve">Stamp duty </w:t>
            </w:r>
            <w:r w:rsidRPr="003D6863">
              <w:rPr>
                <w:rFonts w:ascii="Maiandra GD" w:hAnsi="Maiandra GD"/>
                <w:bCs/>
                <w:sz w:val="24"/>
                <w:szCs w:val="24"/>
              </w:rPr>
              <w:t>totalling</w:t>
            </w:r>
            <w:r w:rsidRPr="003D6863">
              <w:rPr>
                <w:rFonts w:ascii="Maiandra GD" w:hAnsi="Maiandra GD"/>
                <w:bCs/>
                <w:sz w:val="24"/>
                <w:szCs w:val="24"/>
              </w:rPr>
              <w:t xml:space="preserve"> 0.5 of the share capital provided as provided for by the stamp duty Act 2014</w:t>
            </w:r>
          </w:p>
        </w:tc>
      </w:tr>
      <w:tr w:rsidR="00E57580" w:rsidTr="694C620A" w14:paraId="695A2F39" w14:textId="77777777">
        <w:tc>
          <w:tcPr>
            <w:tcW w:w="9016" w:type="dxa"/>
            <w:tcMar/>
          </w:tcPr>
          <w:p w:rsidR="00E57580" w:rsidP="00E57580" w:rsidRDefault="00E57580" w14:paraId="79C23A5A" w14:textId="18FBEAF9">
            <w:pPr>
              <w:widowControl w:val="0"/>
              <w:autoSpaceDE w:val="0"/>
              <w:autoSpaceDN w:val="0"/>
              <w:adjustRightInd w:val="0"/>
              <w:spacing w:before="74" w:line="360" w:lineRule="auto"/>
              <w:ind w:right="1033"/>
              <w:jc w:val="both"/>
              <w:rPr>
                <w:rFonts w:ascii="Maiandra GD" w:hAnsi="Maiandra GD"/>
                <w:bCs/>
                <w:sz w:val="24"/>
                <w:szCs w:val="24"/>
              </w:rPr>
            </w:pPr>
            <w:r w:rsidRPr="003D6863">
              <w:rPr>
                <w:rFonts w:ascii="Maiandra GD" w:hAnsi="Maiandra GD"/>
                <w:bCs/>
                <w:sz w:val="24"/>
                <w:szCs w:val="24"/>
              </w:rPr>
              <w:t>Stamp duty on the Memorandum and Articles of Association</w:t>
            </w:r>
          </w:p>
        </w:tc>
      </w:tr>
      <w:tr w:rsidR="00E57580" w:rsidTr="694C620A" w14:paraId="7FE17DC1" w14:textId="77777777">
        <w:tc>
          <w:tcPr>
            <w:tcW w:w="9016" w:type="dxa"/>
            <w:tcMar/>
          </w:tcPr>
          <w:p w:rsidRPr="00AA5312" w:rsidR="00E57580" w:rsidP="00E57580" w:rsidRDefault="00E57580" w14:paraId="22AF05C4" w14:textId="3D1AD388">
            <w:pPr>
              <w:widowControl w:val="0"/>
              <w:autoSpaceDE w:val="0"/>
              <w:autoSpaceDN w:val="0"/>
              <w:adjustRightInd w:val="0"/>
              <w:spacing w:before="74" w:line="360" w:lineRule="auto"/>
              <w:ind w:right="1033"/>
              <w:jc w:val="both"/>
              <w:rPr>
                <w:rFonts w:ascii="Maiandra GD" w:hAnsi="Maiandra GD"/>
                <w:bCs/>
                <w:sz w:val="24"/>
                <w:szCs w:val="24"/>
                <w:lang w:val="en-US"/>
              </w:rPr>
            </w:pPr>
            <w:r w:rsidRPr="003D6863">
              <w:rPr>
                <w:rFonts w:ascii="Maiandra GD" w:hAnsi="Maiandra GD"/>
                <w:bCs/>
                <w:sz w:val="24"/>
                <w:szCs w:val="24"/>
              </w:rPr>
              <w:t>Cost per form</w:t>
            </w:r>
            <w:r w:rsidR="00AA5312">
              <w:rPr>
                <w:rFonts w:ascii="Maiandra GD" w:hAnsi="Maiandra GD"/>
                <w:bCs/>
                <w:sz w:val="24"/>
                <w:szCs w:val="24"/>
                <w:lang w:val="en-US"/>
              </w:rPr>
              <w:t xml:space="preserve"> of Uganda Shillings 20,000</w:t>
            </w:r>
          </w:p>
        </w:tc>
      </w:tr>
    </w:tbl>
    <w:p w:rsidRPr="003D6863" w:rsidR="003D6863" w:rsidP="00E57580" w:rsidRDefault="003D6863" w14:paraId="4BD9583A" w14:textId="77777777">
      <w:pPr>
        <w:widowControl w:val="0"/>
        <w:autoSpaceDE w:val="0"/>
        <w:autoSpaceDN w:val="0"/>
        <w:adjustRightInd w:val="0"/>
        <w:spacing w:before="74" w:after="0" w:line="360" w:lineRule="auto"/>
        <w:ind w:right="1033"/>
        <w:jc w:val="both"/>
        <w:rPr>
          <w:rFonts w:ascii="Maiandra GD" w:hAnsi="Maiandra GD"/>
          <w:bCs/>
          <w:sz w:val="24"/>
          <w:szCs w:val="24"/>
        </w:rPr>
      </w:pPr>
    </w:p>
    <w:p w:rsidR="00AE5E58" w:rsidP="00E57580" w:rsidRDefault="00AE5E58" w14:paraId="0A260B21" w14:textId="7CE8F671">
      <w:pPr>
        <w:spacing w:line="360" w:lineRule="auto"/>
        <w:jc w:val="both"/>
        <w:rPr>
          <w:rFonts w:ascii="Maiandra GD" w:hAnsi="Maiandra GD"/>
          <w:sz w:val="24"/>
          <w:szCs w:val="24"/>
          <w:lang w:val="en-US"/>
        </w:rPr>
      </w:pPr>
      <w:r w:rsidRPr="003D6863">
        <w:rPr>
          <w:rFonts w:ascii="Maiandra GD" w:hAnsi="Maiandra GD"/>
          <w:sz w:val="24"/>
          <w:szCs w:val="24"/>
          <w:lang w:val="en-US"/>
        </w:rPr>
        <w:t xml:space="preserve">Upon the satisfactory </w:t>
      </w:r>
      <w:r w:rsidRPr="003D6863" w:rsidR="00BB0703">
        <w:rPr>
          <w:rFonts w:ascii="Maiandra GD" w:hAnsi="Maiandra GD"/>
          <w:sz w:val="24"/>
          <w:szCs w:val="24"/>
          <w:lang w:val="en-US"/>
        </w:rPr>
        <w:t>fulfillment</w:t>
      </w:r>
      <w:r w:rsidRPr="003D6863">
        <w:rPr>
          <w:rFonts w:ascii="Maiandra GD" w:hAnsi="Maiandra GD"/>
          <w:sz w:val="24"/>
          <w:szCs w:val="24"/>
          <w:lang w:val="en-US"/>
        </w:rPr>
        <w:t xml:space="preserve"> of the requirements for the registration of a company, the Registrar shall issue a </w:t>
      </w:r>
      <w:r w:rsidRPr="003D6863" w:rsidR="00BB0703">
        <w:rPr>
          <w:rFonts w:ascii="Maiandra GD" w:hAnsi="Maiandra GD"/>
          <w:sz w:val="24"/>
          <w:szCs w:val="24"/>
          <w:lang w:val="en-US"/>
        </w:rPr>
        <w:t>Certificate</w:t>
      </w:r>
      <w:r w:rsidRPr="003D6863">
        <w:rPr>
          <w:rFonts w:ascii="Maiandra GD" w:hAnsi="Maiandra GD"/>
          <w:sz w:val="24"/>
          <w:szCs w:val="24"/>
          <w:lang w:val="en-US"/>
        </w:rPr>
        <w:t xml:space="preserve"> of </w:t>
      </w:r>
      <w:r w:rsidRPr="003D6863" w:rsidR="00BB0703">
        <w:rPr>
          <w:rFonts w:ascii="Maiandra GD" w:hAnsi="Maiandra GD"/>
          <w:sz w:val="24"/>
          <w:szCs w:val="24"/>
          <w:lang w:val="en-US"/>
        </w:rPr>
        <w:t xml:space="preserve">Incorporation. </w:t>
      </w:r>
      <w:r w:rsidRPr="003D6863" w:rsidR="00BB0703">
        <w:rPr>
          <w:rStyle w:val="FootnoteReference"/>
          <w:rFonts w:ascii="Maiandra GD" w:hAnsi="Maiandra GD"/>
          <w:sz w:val="24"/>
          <w:szCs w:val="24"/>
          <w:lang w:val="en-US"/>
        </w:rPr>
        <w:footnoteReference w:id="7"/>
      </w:r>
      <w:r w:rsidRPr="003D6863" w:rsidR="00BB0703">
        <w:rPr>
          <w:rFonts w:ascii="Maiandra GD" w:hAnsi="Maiandra GD"/>
          <w:sz w:val="24"/>
          <w:szCs w:val="24"/>
          <w:lang w:val="en-US"/>
        </w:rPr>
        <w:t xml:space="preserve"> An Incorporation Certificate is conclusive evidence of the existence of an artificial separate legal entity globally termed as a “Company”.</w:t>
      </w:r>
    </w:p>
    <w:p w:rsidR="00BE0C10" w:rsidP="00E57580" w:rsidRDefault="00BE0C10" w14:paraId="12273E0E" w14:textId="6335A653">
      <w:pPr>
        <w:spacing w:line="360" w:lineRule="auto"/>
        <w:jc w:val="both"/>
        <w:rPr>
          <w:rFonts w:ascii="Maiandra GD" w:hAnsi="Maiandra GD"/>
          <w:b/>
          <w:bCs/>
          <w:i/>
          <w:iCs/>
          <w:sz w:val="24"/>
          <w:szCs w:val="24"/>
          <w:lang w:val="en-US"/>
        </w:rPr>
      </w:pPr>
      <w:r w:rsidRPr="00BE0C10">
        <w:rPr>
          <w:rFonts w:ascii="Maiandra GD" w:hAnsi="Maiandra GD"/>
          <w:b/>
          <w:bCs/>
          <w:i/>
          <w:iCs/>
          <w:sz w:val="24"/>
          <w:szCs w:val="24"/>
          <w:lang w:val="en-US"/>
        </w:rPr>
        <w:t>Best Practice Opinion:</w:t>
      </w:r>
      <w:r>
        <w:rPr>
          <w:rFonts w:ascii="Maiandra GD" w:hAnsi="Maiandra GD"/>
          <w:b/>
          <w:bCs/>
          <w:i/>
          <w:iCs/>
          <w:sz w:val="24"/>
          <w:szCs w:val="24"/>
          <w:lang w:val="en-US"/>
        </w:rPr>
        <w:t xml:space="preserve"> </w:t>
      </w:r>
    </w:p>
    <w:p w:rsidRPr="00BE0C10" w:rsidR="00BE0C10" w:rsidP="00E57580" w:rsidRDefault="00BE0C10" w14:paraId="1C3A9A8B" w14:textId="61E6ED60">
      <w:pPr>
        <w:spacing w:line="360" w:lineRule="auto"/>
        <w:jc w:val="both"/>
        <w:rPr>
          <w:rFonts w:ascii="Maiandra GD" w:hAnsi="Maiandra GD"/>
          <w:i/>
          <w:iCs/>
          <w:sz w:val="24"/>
          <w:szCs w:val="24"/>
          <w:lang w:val="en-US"/>
        </w:rPr>
      </w:pPr>
      <w:r w:rsidRPr="00BE0C10">
        <w:rPr>
          <w:rFonts w:ascii="Maiandra GD" w:hAnsi="Maiandra GD"/>
          <w:i/>
          <w:iCs/>
          <w:sz w:val="24"/>
          <w:szCs w:val="24"/>
          <w:lang w:val="en-US"/>
        </w:rPr>
        <w:t xml:space="preserve">We Opine that subject to </w:t>
      </w:r>
      <w:r w:rsidR="00B7719C">
        <w:rPr>
          <w:rFonts w:ascii="Maiandra GD" w:hAnsi="Maiandra GD"/>
          <w:i/>
          <w:iCs/>
          <w:sz w:val="24"/>
          <w:szCs w:val="24"/>
          <w:lang w:val="en-US"/>
        </w:rPr>
        <w:t>the registration procedures above, the promoters and members of the company ought to plan for the operationalization of the objective</w:t>
      </w:r>
      <w:r w:rsidR="00D85FD9">
        <w:rPr>
          <w:rFonts w:ascii="Maiandra GD" w:hAnsi="Maiandra GD"/>
          <w:i/>
          <w:iCs/>
          <w:sz w:val="24"/>
          <w:szCs w:val="24"/>
          <w:lang w:val="en-US"/>
        </w:rPr>
        <w:t>s</w:t>
      </w:r>
      <w:r w:rsidR="00B7719C">
        <w:rPr>
          <w:rFonts w:ascii="Maiandra GD" w:hAnsi="Maiandra GD"/>
          <w:i/>
          <w:iCs/>
          <w:sz w:val="24"/>
          <w:szCs w:val="24"/>
          <w:lang w:val="en-US"/>
        </w:rPr>
        <w:t xml:space="preserve"> of the corporation. It is therefore important to Register </w:t>
      </w:r>
      <w:r w:rsidR="00D85FD9">
        <w:rPr>
          <w:rFonts w:ascii="Maiandra GD" w:hAnsi="Maiandra GD"/>
          <w:i/>
          <w:iCs/>
          <w:sz w:val="24"/>
          <w:szCs w:val="24"/>
          <w:lang w:val="en-US"/>
        </w:rPr>
        <w:t>the Company Beneficiary Form</w:t>
      </w:r>
      <w:r w:rsidR="00D85FD9">
        <w:rPr>
          <w:rStyle w:val="FootnoteReference"/>
          <w:rFonts w:ascii="Maiandra GD" w:hAnsi="Maiandra GD"/>
          <w:i/>
          <w:iCs/>
          <w:sz w:val="24"/>
          <w:szCs w:val="24"/>
          <w:lang w:val="en-US"/>
        </w:rPr>
        <w:footnoteReference w:id="8"/>
      </w:r>
      <w:r w:rsidR="00D85FD9">
        <w:rPr>
          <w:rFonts w:ascii="Maiandra GD" w:hAnsi="Maiandra GD"/>
          <w:i/>
          <w:iCs/>
          <w:sz w:val="24"/>
          <w:szCs w:val="24"/>
          <w:lang w:val="en-US"/>
        </w:rPr>
        <w:t xml:space="preserve"> and the </w:t>
      </w:r>
      <w:r w:rsidR="00B7719C">
        <w:rPr>
          <w:rFonts w:ascii="Maiandra GD" w:hAnsi="Maiandra GD"/>
          <w:i/>
          <w:iCs/>
          <w:sz w:val="24"/>
          <w:szCs w:val="24"/>
          <w:lang w:val="en-US"/>
        </w:rPr>
        <w:t xml:space="preserve">Resolution (s) in line with bank account opening and Appointment of a managing Director. </w:t>
      </w:r>
    </w:p>
    <w:p w:rsidRPr="003D6863" w:rsidR="00BE0C10" w:rsidP="00E57580" w:rsidRDefault="00BE0C10" w14:paraId="5E6BA897" w14:textId="77777777">
      <w:pPr>
        <w:spacing w:line="360" w:lineRule="auto"/>
        <w:jc w:val="both"/>
        <w:rPr>
          <w:rFonts w:ascii="Maiandra GD" w:hAnsi="Maiandra GD"/>
          <w:sz w:val="24"/>
          <w:szCs w:val="24"/>
          <w:lang w:val="en-US"/>
        </w:rPr>
      </w:pPr>
    </w:p>
    <w:p w:rsidRPr="003D6863" w:rsidR="00063EC0" w:rsidP="00E57580" w:rsidRDefault="00063EC0" w14:paraId="4F634FC5" w14:textId="2FF80E23">
      <w:pPr>
        <w:spacing w:line="360" w:lineRule="auto"/>
        <w:jc w:val="both"/>
        <w:rPr>
          <w:rFonts w:ascii="Maiandra GD" w:hAnsi="Maiandra GD"/>
          <w:sz w:val="24"/>
          <w:szCs w:val="24"/>
          <w:lang w:val="en-US"/>
        </w:rPr>
      </w:pPr>
    </w:p>
    <w:p w:rsidRPr="00E57580" w:rsidR="00E57580" w:rsidP="00E57580" w:rsidRDefault="00E57580" w14:paraId="226208E6" w14:textId="25FC3773">
      <w:pPr>
        <w:spacing w:after="0" w:line="360" w:lineRule="auto"/>
        <w:jc w:val="both"/>
        <w:rPr>
          <w:rFonts w:ascii="Maiandra GD" w:hAnsi="Maiandra GD"/>
          <w:b/>
          <w:bCs/>
          <w:sz w:val="24"/>
          <w:szCs w:val="24"/>
          <w:u w:val="single"/>
          <w:lang w:val="en-US"/>
        </w:rPr>
      </w:pPr>
      <w:r w:rsidRPr="00E57580">
        <w:rPr>
          <w:rFonts w:ascii="Maiandra GD" w:hAnsi="Maiandra GD"/>
          <w:b/>
          <w:bCs/>
          <w:sz w:val="24"/>
          <w:szCs w:val="24"/>
          <w:u w:val="single"/>
          <w:lang w:val="en-US"/>
        </w:rPr>
        <w:t>DRAWN BY:</w:t>
      </w:r>
    </w:p>
    <w:p w:rsidRPr="003D6863" w:rsidR="00063EC0" w:rsidP="00E57580" w:rsidRDefault="00063EC0" w14:paraId="5A4318D3" w14:textId="2DEE19D7">
      <w:pPr>
        <w:spacing w:after="0" w:line="360" w:lineRule="auto"/>
        <w:jc w:val="both"/>
        <w:rPr>
          <w:rFonts w:ascii="Maiandra GD" w:hAnsi="Maiandra GD"/>
          <w:sz w:val="24"/>
          <w:szCs w:val="24"/>
          <w:lang w:val="en-US"/>
        </w:rPr>
      </w:pPr>
      <w:r w:rsidRPr="003D6863">
        <w:rPr>
          <w:rFonts w:ascii="Maiandra GD" w:hAnsi="Maiandra GD"/>
          <w:sz w:val="24"/>
          <w:szCs w:val="24"/>
          <w:lang w:val="en-US"/>
        </w:rPr>
        <w:t>Aggrey Tumusiime (Mr.)</w:t>
      </w:r>
    </w:p>
    <w:p w:rsidRPr="003D6863" w:rsidR="00063EC0" w:rsidP="00E57580" w:rsidRDefault="00063EC0" w14:paraId="14100D13" w14:textId="36C5048F">
      <w:pPr>
        <w:spacing w:after="0" w:line="360" w:lineRule="auto"/>
        <w:jc w:val="both"/>
        <w:rPr>
          <w:rFonts w:ascii="Maiandra GD" w:hAnsi="Maiandra GD"/>
          <w:b/>
          <w:bCs/>
          <w:sz w:val="24"/>
          <w:szCs w:val="24"/>
          <w:lang w:val="en-US"/>
        </w:rPr>
      </w:pPr>
      <w:r w:rsidRPr="003D6863">
        <w:rPr>
          <w:rFonts w:ascii="Maiandra GD" w:hAnsi="Maiandra GD"/>
          <w:b/>
          <w:bCs/>
          <w:sz w:val="24"/>
          <w:szCs w:val="24"/>
          <w:lang w:val="en-US"/>
        </w:rPr>
        <w:t>LLB / P.DIP-LDC / MBA-TELM</w:t>
      </w:r>
    </w:p>
    <w:sectPr w:rsidRPr="003D6863" w:rsidR="00063EC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3EC0" w:rsidP="00063EC0" w:rsidRDefault="00063EC0" w14:paraId="19E683A6" w14:textId="77777777">
      <w:pPr>
        <w:spacing w:after="0" w:line="240" w:lineRule="auto"/>
      </w:pPr>
      <w:r>
        <w:separator/>
      </w:r>
    </w:p>
  </w:endnote>
  <w:endnote w:type="continuationSeparator" w:id="0">
    <w:p w:rsidR="00063EC0" w:rsidP="00063EC0" w:rsidRDefault="00063EC0" w14:paraId="57B0D3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3EC0" w:rsidP="00063EC0" w:rsidRDefault="00063EC0" w14:paraId="075C834C" w14:textId="77777777">
      <w:pPr>
        <w:spacing w:after="0" w:line="240" w:lineRule="auto"/>
      </w:pPr>
      <w:r>
        <w:separator/>
      </w:r>
    </w:p>
  </w:footnote>
  <w:footnote w:type="continuationSeparator" w:id="0">
    <w:p w:rsidR="00063EC0" w:rsidP="00063EC0" w:rsidRDefault="00063EC0" w14:paraId="54148089" w14:textId="77777777">
      <w:pPr>
        <w:spacing w:after="0" w:line="240" w:lineRule="auto"/>
      </w:pPr>
      <w:r>
        <w:continuationSeparator/>
      </w:r>
    </w:p>
  </w:footnote>
  <w:footnote w:id="1">
    <w:p w:rsidRPr="00873726" w:rsidR="00873726" w:rsidP="00873726" w:rsidRDefault="00873726" w14:paraId="5871F7AC" w14:textId="678D1427">
      <w:pPr>
        <w:pStyle w:val="FootnoteText"/>
        <w:rPr>
          <w:lang w:val="en-US"/>
        </w:rPr>
      </w:pPr>
      <w:r>
        <w:rPr>
          <w:rStyle w:val="FootnoteReference"/>
        </w:rPr>
        <w:footnoteRef/>
      </w:r>
      <w:r>
        <w:t xml:space="preserve"> </w:t>
      </w:r>
      <w:r>
        <w:rPr>
          <w:lang w:val="en-US"/>
        </w:rPr>
        <w:t>Section 2 of the Companies Act – A company registered under the Act</w:t>
      </w:r>
    </w:p>
  </w:footnote>
  <w:footnote w:id="2">
    <w:p w:rsidRPr="00063EC0" w:rsidR="00063EC0" w:rsidP="00E415E2" w:rsidRDefault="00063EC0" w14:paraId="05E28E2B" w14:textId="5236D997">
      <w:pPr>
        <w:pStyle w:val="EndnoteText"/>
        <w:rPr>
          <w:lang w:val="en-US"/>
        </w:rPr>
      </w:pPr>
      <w:r>
        <w:rPr>
          <w:rStyle w:val="FootnoteReference"/>
        </w:rPr>
        <w:footnoteRef/>
      </w:r>
      <w:r>
        <w:t xml:space="preserve"> </w:t>
      </w:r>
      <w:r>
        <w:rPr>
          <w:lang w:val="en-US"/>
        </w:rPr>
        <w:t>Stephen Griffin, 4</w:t>
      </w:r>
      <w:r w:rsidRPr="00063EC0">
        <w:rPr>
          <w:vertAlign w:val="superscript"/>
          <w:lang w:val="en-US"/>
        </w:rPr>
        <w:t>th</w:t>
      </w:r>
      <w:r>
        <w:rPr>
          <w:lang w:val="en-US"/>
        </w:rPr>
        <w:t xml:space="preserve"> Edition, Company Law Fundamental Principles</w:t>
      </w:r>
      <w:r w:rsidR="00873726">
        <w:rPr>
          <w:lang w:val="en-US"/>
        </w:rPr>
        <w:t>.</w:t>
      </w:r>
    </w:p>
  </w:footnote>
  <w:footnote w:id="3">
    <w:p w:rsidRPr="00873726" w:rsidR="00873726" w:rsidP="00873726" w:rsidRDefault="00873726" w14:paraId="64FA14BA" w14:textId="2945C56B">
      <w:pPr>
        <w:pStyle w:val="FootnoteText"/>
        <w:rPr>
          <w:lang w:val="en-US"/>
        </w:rPr>
      </w:pPr>
      <w:r>
        <w:rPr>
          <w:rStyle w:val="FootnoteReference"/>
        </w:rPr>
        <w:footnoteRef/>
      </w:r>
      <w:r>
        <w:t xml:space="preserve"> </w:t>
      </w:r>
      <w:r>
        <w:rPr>
          <w:lang w:val="en-US"/>
        </w:rPr>
        <w:t>Article 26 of the Constitution 1995.</w:t>
      </w:r>
    </w:p>
  </w:footnote>
  <w:footnote w:id="4">
    <w:p w:rsidRPr="00E415E2" w:rsidR="00E415E2" w:rsidRDefault="00E415E2" w14:paraId="7D792051" w14:textId="1CE3F398">
      <w:pPr>
        <w:pStyle w:val="FootnoteText"/>
        <w:rPr>
          <w:lang w:val="en-US"/>
        </w:rPr>
      </w:pPr>
      <w:r>
        <w:rPr>
          <w:rStyle w:val="FootnoteReference"/>
        </w:rPr>
        <w:footnoteRef/>
      </w:r>
      <w:r>
        <w:t xml:space="preserve"> </w:t>
      </w:r>
      <w:r>
        <w:rPr>
          <w:lang w:val="en-US"/>
        </w:rPr>
        <w:t>Uganda Registration Services Bureau Act</w:t>
      </w:r>
      <w:r w:rsidR="00AA5312">
        <w:rPr>
          <w:lang w:val="en-US"/>
        </w:rPr>
        <w:t>, cap 210</w:t>
      </w:r>
    </w:p>
  </w:footnote>
  <w:footnote w:id="5">
    <w:p w:rsidRPr="00E57580" w:rsidR="00E57580" w:rsidRDefault="00E57580" w14:paraId="0937BBD1" w14:textId="21E92FB7">
      <w:pPr>
        <w:pStyle w:val="FootnoteText"/>
        <w:rPr>
          <w:lang w:val="en-US"/>
        </w:rPr>
      </w:pPr>
      <w:r>
        <w:rPr>
          <w:rStyle w:val="FootnoteReference"/>
        </w:rPr>
        <w:footnoteRef/>
      </w:r>
      <w:r>
        <w:t xml:space="preserve"> </w:t>
      </w:r>
      <w:r>
        <w:rPr>
          <w:lang w:val="en-US"/>
        </w:rPr>
        <w:t>Companies Act</w:t>
      </w:r>
      <w:r w:rsidR="00E415E2">
        <w:rPr>
          <w:lang w:val="en-US"/>
        </w:rPr>
        <w:t>.</w:t>
      </w:r>
    </w:p>
  </w:footnote>
  <w:footnote w:id="6">
    <w:p w:rsidRPr="00E415E2" w:rsidR="003D6863" w:rsidP="00E415E2" w:rsidRDefault="003D6863" w14:paraId="49FD3E91" w14:textId="282B1409">
      <w:pPr>
        <w:widowControl w:val="0"/>
        <w:autoSpaceDE w:val="0"/>
        <w:autoSpaceDN w:val="0"/>
        <w:adjustRightInd w:val="0"/>
        <w:spacing w:before="19" w:after="0" w:line="258" w:lineRule="auto"/>
        <w:ind w:right="270"/>
        <w:jc w:val="both"/>
        <w:rPr>
          <w:rFonts w:ascii="Maiandra GD" w:hAnsi="Maiandra GD"/>
          <w:bCs/>
          <w:sz w:val="20"/>
          <w:szCs w:val="20"/>
        </w:rPr>
      </w:pPr>
      <w:r>
        <w:rPr>
          <w:rStyle w:val="FootnoteReference"/>
        </w:rPr>
        <w:footnoteRef/>
      </w:r>
      <w:r>
        <w:t xml:space="preserve"> </w:t>
      </w:r>
      <w:r w:rsidRPr="003D6863">
        <w:rPr>
          <w:rFonts w:ascii="Maiandra GD" w:hAnsi="Maiandra GD"/>
          <w:bCs/>
          <w:sz w:val="20"/>
          <w:szCs w:val="20"/>
        </w:rPr>
        <w:t>The fees are provided for under the second schedule head A of the Companies (Fees) Rules, 2005</w:t>
      </w:r>
    </w:p>
  </w:footnote>
  <w:footnote w:id="7">
    <w:p w:rsidRPr="00BB0703" w:rsidR="00BB0703" w:rsidRDefault="00BB0703" w14:paraId="55EC1133" w14:textId="4252AFE4">
      <w:pPr>
        <w:pStyle w:val="FootnoteText"/>
        <w:rPr>
          <w:lang w:val="en-US"/>
        </w:rPr>
      </w:pPr>
      <w:r>
        <w:rPr>
          <w:rStyle w:val="FootnoteReference"/>
        </w:rPr>
        <w:footnoteRef/>
      </w:r>
      <w:r>
        <w:t xml:space="preserve"> </w:t>
      </w:r>
      <w:r>
        <w:rPr>
          <w:lang w:val="en-US"/>
        </w:rPr>
        <w:t>Section 22</w:t>
      </w:r>
      <w:r w:rsidR="00E415E2">
        <w:rPr>
          <w:lang w:val="en-US"/>
        </w:rPr>
        <w:t xml:space="preserve"> of the Companies Act.</w:t>
      </w:r>
    </w:p>
  </w:footnote>
  <w:footnote w:id="8">
    <w:p w:rsidRPr="00F0605F" w:rsidR="00D85FD9" w:rsidRDefault="00D85FD9" w14:paraId="732D6393" w14:textId="7388A5B1">
      <w:pPr>
        <w:pStyle w:val="FootnoteText"/>
        <w:rPr>
          <w:lang w:val="en-US"/>
        </w:rPr>
      </w:pPr>
      <w:r>
        <w:rPr>
          <w:rStyle w:val="FootnoteReference"/>
        </w:rPr>
        <w:footnoteRef/>
      </w:r>
      <w:r>
        <w:t xml:space="preserve"> </w:t>
      </w:r>
      <w:r w:rsidR="00F0605F">
        <w:rPr>
          <w:lang w:val="en-US"/>
        </w:rPr>
        <w:t>Companies (Beneficial Owners) Regulations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0726"/>
    <w:multiLevelType w:val="hybridMultilevel"/>
    <w:tmpl w:val="C0AAC5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A07CE6"/>
    <w:multiLevelType w:val="hybridMultilevel"/>
    <w:tmpl w:val="37727F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CDA17D7"/>
    <w:multiLevelType w:val="hybridMultilevel"/>
    <w:tmpl w:val="3DAA2F9E"/>
    <w:lvl w:ilvl="0" w:tplc="E8301F1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3E2F4A84"/>
    <w:multiLevelType w:val="hybridMultilevel"/>
    <w:tmpl w:val="FF46D560"/>
    <w:lvl w:ilvl="0" w:tplc="488EF8F4">
      <w:start w:val="1"/>
      <w:numFmt w:val="lowerLetter"/>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21796238">
    <w:abstractNumId w:val="1"/>
  </w:num>
  <w:num w:numId="2" w16cid:durableId="605043968">
    <w:abstractNumId w:val="0"/>
  </w:num>
  <w:num w:numId="3" w16cid:durableId="603926019">
    <w:abstractNumId w:val="3"/>
  </w:num>
  <w:num w:numId="4" w16cid:durableId="1498882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46"/>
    <w:rsid w:val="00063EC0"/>
    <w:rsid w:val="003B1E46"/>
    <w:rsid w:val="003D6863"/>
    <w:rsid w:val="005F078F"/>
    <w:rsid w:val="00873726"/>
    <w:rsid w:val="00AA1CDE"/>
    <w:rsid w:val="00AA5312"/>
    <w:rsid w:val="00AE5E58"/>
    <w:rsid w:val="00B7719C"/>
    <w:rsid w:val="00BB0703"/>
    <w:rsid w:val="00BE0C10"/>
    <w:rsid w:val="00D85FD9"/>
    <w:rsid w:val="00DF4874"/>
    <w:rsid w:val="00E415E2"/>
    <w:rsid w:val="00E45DF2"/>
    <w:rsid w:val="00E57580"/>
    <w:rsid w:val="00F0605F"/>
    <w:rsid w:val="126F1168"/>
    <w:rsid w:val="694C620A"/>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7F67"/>
  <w15:chartTrackingRefBased/>
  <w15:docId w15:val="{9103CE22-71E3-4096-A4E6-02E5A52B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link w:val="EndnoteTextChar"/>
    <w:uiPriority w:val="99"/>
    <w:unhideWhenUsed/>
    <w:rsid w:val="00063EC0"/>
    <w:pPr>
      <w:spacing w:after="0" w:line="240" w:lineRule="auto"/>
    </w:pPr>
    <w:rPr>
      <w:sz w:val="20"/>
      <w:szCs w:val="20"/>
    </w:rPr>
  </w:style>
  <w:style w:type="character" w:styleId="EndnoteTextChar" w:customStyle="1">
    <w:name w:val="Endnote Text Char"/>
    <w:basedOn w:val="DefaultParagraphFont"/>
    <w:link w:val="EndnoteText"/>
    <w:uiPriority w:val="99"/>
    <w:rsid w:val="00063EC0"/>
    <w:rPr>
      <w:sz w:val="20"/>
      <w:szCs w:val="20"/>
    </w:rPr>
  </w:style>
  <w:style w:type="character" w:styleId="EndnoteReference">
    <w:name w:val="endnote reference"/>
    <w:basedOn w:val="DefaultParagraphFont"/>
    <w:uiPriority w:val="99"/>
    <w:semiHidden/>
    <w:unhideWhenUsed/>
    <w:rsid w:val="00063EC0"/>
    <w:rPr>
      <w:vertAlign w:val="superscript"/>
    </w:rPr>
  </w:style>
  <w:style w:type="paragraph" w:styleId="FootnoteText">
    <w:name w:val="footnote text"/>
    <w:basedOn w:val="Normal"/>
    <w:link w:val="FootnoteTextChar"/>
    <w:uiPriority w:val="99"/>
    <w:semiHidden/>
    <w:unhideWhenUsed/>
    <w:rsid w:val="00063EC0"/>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063EC0"/>
    <w:rPr>
      <w:sz w:val="20"/>
      <w:szCs w:val="20"/>
    </w:rPr>
  </w:style>
  <w:style w:type="character" w:styleId="FootnoteReference">
    <w:name w:val="footnote reference"/>
    <w:basedOn w:val="DefaultParagraphFont"/>
    <w:uiPriority w:val="99"/>
    <w:semiHidden/>
    <w:unhideWhenUsed/>
    <w:rsid w:val="00063EC0"/>
    <w:rPr>
      <w:vertAlign w:val="superscript"/>
    </w:rPr>
  </w:style>
  <w:style w:type="paragraph" w:styleId="ListParagraph">
    <w:name w:val="List Paragraph"/>
    <w:basedOn w:val="Normal"/>
    <w:uiPriority w:val="34"/>
    <w:qFormat/>
    <w:rsid w:val="00063EC0"/>
    <w:pPr>
      <w:ind w:left="720"/>
      <w:contextualSpacing/>
    </w:pPr>
  </w:style>
  <w:style w:type="table" w:styleId="TableGrid">
    <w:name w:val="Table Grid"/>
    <w:basedOn w:val="TableNormal"/>
    <w:uiPriority w:val="39"/>
    <w:rsid w:val="003D6863"/>
    <w:pPr>
      <w:spacing w:after="0" w:line="240" w:lineRule="auto"/>
    </w:pPr>
    <w:rPr>
      <w:lang w:val="en-U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19B1B-785F-41EC-9A1C-AF8033FB199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Tumusiime Aggrey</dc:creator>
  <keywords/>
  <dc:description/>
  <lastModifiedBy>Tumusiime Aggrey</lastModifiedBy>
  <revision>8</revision>
  <dcterms:created xsi:type="dcterms:W3CDTF">2023-07-27T08:41:00.0000000Z</dcterms:created>
  <dcterms:modified xsi:type="dcterms:W3CDTF">2025-03-17T11:19:24.6304368Z</dcterms:modified>
</coreProperties>
</file>